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9E38BD" w:rsidRPr="00630220" w:rsidTr="00495F57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630220" w:rsidRDefault="00F27DA5" w:rsidP="00495F5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27DA5">
              <w:rPr>
                <w:rFonts w:asciiTheme="minorEastAsia" w:hAnsiTheme="minorEastAsia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630220" w:rsidRDefault="00F27DA5" w:rsidP="00F27DA5">
            <w:pPr>
              <w:pStyle w:val="a5"/>
              <w:spacing w:line="480" w:lineRule="auto"/>
              <w:ind w:leftChars="-73" w:left="-153"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F27DA5">
              <w:rPr>
                <w:rFonts w:asciiTheme="minorEastAsia" w:eastAsiaTheme="minorEastAsia" w:hAnsiTheme="minorEastAsia" w:cs="宋体" w:hint="eastAsia"/>
                <w:szCs w:val="21"/>
              </w:rPr>
              <w:t>カメラは光学的に手ブレを防ぐためにモーターを</w:t>
            </w:r>
            <w:proofErr w:type="gramStart"/>
            <w:r w:rsidRPr="00F27DA5">
              <w:rPr>
                <w:rFonts w:asciiTheme="minorEastAsia" w:eastAsiaTheme="minorEastAsia" w:hAnsiTheme="minorEastAsia" w:cs="宋体" w:hint="eastAsia"/>
                <w:szCs w:val="21"/>
              </w:rPr>
              <w:t>動</w:t>
            </w:r>
            <w:proofErr w:type="gramEnd"/>
            <w:r w:rsidRPr="00F27DA5">
              <w:rPr>
                <w:rFonts w:asciiTheme="minorEastAsia" w:eastAsiaTheme="minorEastAsia" w:hAnsiTheme="minorEastAsia" w:cs="宋体" w:hint="eastAsia"/>
                <w:szCs w:val="21"/>
              </w:rPr>
              <w:t>かします</w:t>
            </w:r>
          </w:p>
        </w:tc>
      </w:tr>
      <w:tr w:rsidR="009E38BD" w:rsidRPr="00630220" w:rsidTr="003412CF">
        <w:trPr>
          <w:trHeight w:val="987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630220" w:rsidRDefault="003435F3" w:rsidP="00495F5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435F3">
              <w:rPr>
                <w:rFonts w:asciiTheme="minorEastAsia" w:hAnsiTheme="minorEastAsia" w:cs="宋体" w:hint="eastAsia"/>
                <w:szCs w:val="21"/>
              </w:rPr>
              <w:t>製品主要技術性能指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F3" w:rsidRPr="003435F3" w:rsidRDefault="003435F3" w:rsidP="003435F3">
            <w:pPr>
              <w:widowControl/>
              <w:snapToGrid w:val="0"/>
              <w:spacing w:line="240" w:lineRule="atLeast"/>
              <w:ind w:firstLineChars="500" w:firstLine="1050"/>
              <w:jc w:val="left"/>
              <w:rPr>
                <w:rFonts w:asciiTheme="minorEastAsia" w:hAnsiTheme="minorEastAsia" w:cs="宋体" w:hint="eastAsia"/>
                <w:szCs w:val="21"/>
              </w:rPr>
            </w:pPr>
            <w:r w:rsidRPr="003435F3">
              <w:rPr>
                <w:rFonts w:asciiTheme="minorEastAsia" w:hAnsiTheme="minorEastAsia" w:cs="宋体" w:hint="eastAsia"/>
                <w:szCs w:val="21"/>
              </w:rPr>
              <w:t>機能：光学的には、光学式モーターを防ぐために</w:t>
            </w:r>
          </w:p>
          <w:p w:rsidR="009E38BD" w:rsidRPr="00630220" w:rsidRDefault="003435F3" w:rsidP="003435F3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3435F3">
              <w:rPr>
                <w:rFonts w:asciiTheme="minorEastAsia" w:eastAsiaTheme="minorEastAsia" w:hAnsiTheme="minorEastAsia" w:cs="宋体" w:hint="eastAsia"/>
                <w:szCs w:val="21"/>
              </w:rPr>
              <w:t>適用画素：13M / 16M / 20 M</w:t>
            </w:r>
          </w:p>
        </w:tc>
      </w:tr>
      <w:tr w:rsidR="009E38BD" w:rsidRPr="00630220" w:rsidTr="003412CF">
        <w:trPr>
          <w:trHeight w:val="11109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5F3" w:rsidRPr="003435F3" w:rsidRDefault="003435F3" w:rsidP="003435F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3435F3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9E38BD" w:rsidRPr="00630220" w:rsidRDefault="003435F3" w:rsidP="003435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35F3">
              <w:rPr>
                <w:rFonts w:asciiTheme="minorEastAsia" w:hAnsiTheme="minorEastAsia" w:hint="eastAsia"/>
                <w:szCs w:val="21"/>
              </w:rPr>
              <w:t>（構造、材質、技術、工</w:t>
            </w:r>
            <w:proofErr w:type="gramStart"/>
            <w:r w:rsidRPr="003435F3">
              <w:rPr>
                <w:rFonts w:asciiTheme="minorEastAsia" w:hAnsiTheme="minorEastAsia" w:hint="eastAsia"/>
                <w:szCs w:val="21"/>
              </w:rPr>
              <w:t>芸</w:t>
            </w:r>
            <w:proofErr w:type="gramEnd"/>
            <w:r w:rsidRPr="003435F3">
              <w:rPr>
                <w:rFonts w:asciiTheme="minorEastAsia" w:hAnsiTheme="minorEastAsia" w:hint="eastAsia"/>
                <w:szCs w:val="21"/>
              </w:rPr>
              <w:t>、性能、使用）機能）を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F3" w:rsidRPr="00630220" w:rsidRDefault="003435F3" w:rsidP="003435F3">
            <w:pPr>
              <w:snapToGrid w:val="0"/>
              <w:spacing w:afterLines="50" w:after="156"/>
              <w:ind w:firstLineChars="200" w:firstLine="420"/>
              <w:jc w:val="left"/>
              <w:rPr>
                <w:rFonts w:asciiTheme="minorEastAsia" w:hAnsiTheme="minorEastAsia" w:cs="宋体"/>
                <w:szCs w:val="21"/>
              </w:rPr>
            </w:pPr>
            <w:r w:rsidRPr="003435F3">
              <w:rPr>
                <w:rFonts w:asciiTheme="minorEastAsia" w:hAnsiTheme="minorEastAsia" w:cs="宋体" w:hint="eastAsia"/>
                <w:szCs w:val="21"/>
              </w:rPr>
              <w:t>今の携帯電話市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場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に熟して、携帯電話メーカー必要更新技術は眼球を引きつけ、ケータイのカメラの写真を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撮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るの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効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果はその1つの重要なパラメータ、フォーカス速度、画素、夜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撮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りブレ補正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効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果、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撮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影、絞りの大きさなども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止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まらないアップで、PDAF、クローズドループ焦点を、フォーカスなど高速レーザーズーム技術が続々と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応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用の携帯電話に、しかしフォーカス速度夜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撮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りにブレ補正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効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果や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撮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影が改善し、しかし根本から解決できないが、夜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撮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りの長時間露出、手ブレによる画面ブレや運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動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の情景を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機械手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ブレによる画面が震えて光学手ぶれ防止技術制御レンズの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側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面移</w:t>
            </w:r>
            <w:proofErr w:type="gramStart"/>
            <w:r w:rsidRPr="003435F3">
              <w:rPr>
                <w:rFonts w:asciiTheme="minorEastAsia" w:hAnsiTheme="minorEastAsia" w:cs="宋体" w:hint="eastAsia"/>
                <w:szCs w:val="21"/>
              </w:rPr>
              <w:t>動</w:t>
            </w:r>
            <w:proofErr w:type="gramEnd"/>
            <w:r w:rsidRPr="003435F3">
              <w:rPr>
                <w:rFonts w:asciiTheme="minorEastAsia" w:hAnsiTheme="minorEastAsia" w:cs="宋体" w:hint="eastAsia"/>
                <w:szCs w:val="21"/>
              </w:rPr>
              <w:t>オフセット落ち手ブレの時に持ってきた画面の揺れ、的確に入る光センサーは根本的にこの問題を解決しました、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9E38BD" w:rsidRPr="00630220" w:rsidTr="00495F57">
              <w:tc>
                <w:tcPr>
                  <w:tcW w:w="912" w:type="dxa"/>
                  <w:vAlign w:val="center"/>
                </w:tcPr>
                <w:p w:rsidR="009E38BD" w:rsidRPr="00630220" w:rsidRDefault="009E38BD" w:rsidP="00495F57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9E38BD" w:rsidRPr="00630220" w:rsidRDefault="00042729" w:rsidP="00495F57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9E38BD" w:rsidRPr="00630220" w:rsidRDefault="00042729" w:rsidP="00495F57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9E38BD" w:rsidRPr="00630220" w:rsidRDefault="00042729" w:rsidP="00495F57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効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用</w:t>
                  </w:r>
                </w:p>
              </w:tc>
            </w:tr>
            <w:tr w:rsidR="009E38BD" w:rsidRPr="00630220" w:rsidTr="005205D5">
              <w:trPr>
                <w:trHeight w:val="1078"/>
              </w:trPr>
              <w:tc>
                <w:tcPr>
                  <w:tcW w:w="912" w:type="dxa"/>
                  <w:vAlign w:val="center"/>
                </w:tcPr>
                <w:p w:rsidR="009E38BD" w:rsidRPr="00630220" w:rsidRDefault="00042729" w:rsidP="00495F57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A608D9" w:rsidRPr="00630220" w:rsidRDefault="00A608D9" w:rsidP="00A608D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9E38BD" w:rsidRPr="00630220" w:rsidRDefault="00042729" w:rsidP="00A608D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リード形軸運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9E38BD" w:rsidRPr="00630220" w:rsidRDefault="009E38BD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A608D9" w:rsidRPr="00630220" w:rsidRDefault="00042729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街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燈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三軸運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1" w:type="dxa"/>
                </w:tcPr>
                <w:p w:rsidR="009E38BD" w:rsidRPr="00630220" w:rsidRDefault="009E38BD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5410F6" w:rsidRPr="00630220" w:rsidRDefault="00042729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レンズ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側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面移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機能、防NAGOMI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効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果があります</w:t>
                  </w:r>
                </w:p>
              </w:tc>
            </w:tr>
            <w:tr w:rsidR="009E38BD" w:rsidRPr="00630220" w:rsidTr="005205D5">
              <w:trPr>
                <w:trHeight w:val="1533"/>
              </w:trPr>
              <w:tc>
                <w:tcPr>
                  <w:tcW w:w="912" w:type="dxa"/>
                  <w:vAlign w:val="center"/>
                </w:tcPr>
                <w:p w:rsidR="009E38BD" w:rsidRPr="00630220" w:rsidRDefault="00042729" w:rsidP="00495F57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A30CA0" w:rsidRDefault="00A30CA0" w:rsidP="00042729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042729" w:rsidRPr="00042729" w:rsidRDefault="00042729" w:rsidP="00042729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伝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統リード構造、</w:t>
                  </w:r>
                </w:p>
                <w:p w:rsidR="007A5520" w:rsidRPr="00630220" w:rsidRDefault="00042729" w:rsidP="00042729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構造が成熟している</w:t>
                  </w:r>
                </w:p>
              </w:tc>
              <w:tc>
                <w:tcPr>
                  <w:tcW w:w="2080" w:type="dxa"/>
                </w:tcPr>
                <w:p w:rsidR="00585CB4" w:rsidRPr="00630220" w:rsidRDefault="00042729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街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燈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の構造は、頻度共振と位置センサーとICとの相互配合調整を必要とする</w:t>
                  </w:r>
                </w:p>
              </w:tc>
              <w:tc>
                <w:tcPr>
                  <w:tcW w:w="2081" w:type="dxa"/>
                </w:tcPr>
                <w:p w:rsidR="00A30CA0" w:rsidRDefault="00A30CA0" w:rsidP="00495F57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9E38BD" w:rsidRPr="00630220" w:rsidRDefault="00042729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入門の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敷居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が高く、付加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価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値が大きい</w:t>
                  </w:r>
                </w:p>
              </w:tc>
            </w:tr>
            <w:tr w:rsidR="009E38BD" w:rsidRPr="00630220" w:rsidTr="005205D5">
              <w:trPr>
                <w:trHeight w:val="1329"/>
              </w:trPr>
              <w:tc>
                <w:tcPr>
                  <w:tcW w:w="912" w:type="dxa"/>
                  <w:vAlign w:val="center"/>
                </w:tcPr>
                <w:p w:rsidR="009E38BD" w:rsidRPr="00630220" w:rsidRDefault="00042729" w:rsidP="00495F57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A30CA0" w:rsidRDefault="00A30CA0" w:rsidP="00495F57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9E38BD" w:rsidRPr="00630220" w:rsidRDefault="00A30CA0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A30CA0">
                    <w:rPr>
                      <w:rFonts w:asciiTheme="minorEastAsia" w:hAnsiTheme="minorEastAsia" w:cs="宋体" w:hint="eastAsia"/>
                      <w:szCs w:val="21"/>
                    </w:rPr>
                    <w:t>熱</w:t>
                  </w:r>
                  <w:proofErr w:type="gramEnd"/>
                  <w:r w:rsidRPr="00A30CA0">
                    <w:rPr>
                      <w:rFonts w:asciiTheme="minorEastAsia" w:hAnsiTheme="minorEastAsia" w:cs="宋体" w:hint="eastAsia"/>
                      <w:szCs w:val="21"/>
                    </w:rPr>
                    <w:t>硬化性接着剤</w:t>
                  </w:r>
                </w:p>
              </w:tc>
              <w:tc>
                <w:tcPr>
                  <w:tcW w:w="2080" w:type="dxa"/>
                </w:tcPr>
                <w:p w:rsidR="009E38BD" w:rsidRPr="00630220" w:rsidRDefault="009E38BD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0C1E" w:rsidRPr="00630220" w:rsidRDefault="00042729" w:rsidP="00A30CA0">
                  <w:pPr>
                    <w:snapToGrid w:val="0"/>
                    <w:ind w:firstLineChars="150" w:firstLine="315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熱</w:t>
                  </w:r>
                  <w:proofErr w:type="gramEnd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硬化性ゴム</w:t>
                  </w:r>
                </w:p>
              </w:tc>
              <w:tc>
                <w:tcPr>
                  <w:tcW w:w="2081" w:type="dxa"/>
                </w:tcPr>
                <w:p w:rsidR="009E38BD" w:rsidRPr="00630220" w:rsidRDefault="009E38BD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0C1E" w:rsidRPr="00630220" w:rsidRDefault="00042729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減少頻度共振</w:t>
                  </w:r>
                </w:p>
              </w:tc>
            </w:tr>
            <w:tr w:rsidR="00405787" w:rsidRPr="00630220" w:rsidTr="005205D5">
              <w:trPr>
                <w:trHeight w:val="1419"/>
              </w:trPr>
              <w:tc>
                <w:tcPr>
                  <w:tcW w:w="912" w:type="dxa"/>
                  <w:vAlign w:val="center"/>
                </w:tcPr>
                <w:p w:rsidR="00405787" w:rsidRPr="00630220" w:rsidRDefault="00405787" w:rsidP="00495F57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630220">
                    <w:rPr>
                      <w:rFonts w:asciiTheme="minorEastAsia" w:hAnsiTheme="minorEastAsia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405787" w:rsidRPr="00630220" w:rsidRDefault="00405787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0C1E" w:rsidRPr="00630220" w:rsidRDefault="00042729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レンズ単向運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042729" w:rsidRDefault="00042729" w:rsidP="00495F57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A30CA0" w:rsidRDefault="00A30CA0" w:rsidP="00495F57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330C1E" w:rsidRPr="00630220" w:rsidRDefault="00042729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レンズ三軸運</w:t>
                  </w:r>
                  <w:proofErr w:type="gramStart"/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</w:p>
              </w:tc>
              <w:tc>
                <w:tcPr>
                  <w:tcW w:w="2081" w:type="dxa"/>
                </w:tcPr>
                <w:p w:rsidR="00A30CA0" w:rsidRDefault="00A30CA0" w:rsidP="00495F57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330C1E" w:rsidRPr="00630220" w:rsidRDefault="00042729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光学的には画質改善の画質を改善することができる</w:t>
                  </w:r>
                </w:p>
              </w:tc>
            </w:tr>
            <w:tr w:rsidR="009E38BD" w:rsidRPr="00630220" w:rsidTr="005205D5">
              <w:trPr>
                <w:trHeight w:val="1978"/>
              </w:trPr>
              <w:tc>
                <w:tcPr>
                  <w:tcW w:w="912" w:type="dxa"/>
                  <w:vAlign w:val="center"/>
                </w:tcPr>
                <w:p w:rsidR="009E38BD" w:rsidRPr="00630220" w:rsidRDefault="00042729" w:rsidP="00495F57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42729">
                    <w:rPr>
                      <w:rFonts w:asciiTheme="minorEastAsia" w:hAnsiTheme="minorEastAsia" w:cs="宋体" w:hint="eastAsia"/>
                      <w:szCs w:val="21"/>
                    </w:rPr>
                    <w:t>使用機能</w:t>
                  </w:r>
                </w:p>
              </w:tc>
              <w:tc>
                <w:tcPr>
                  <w:tcW w:w="2080" w:type="dxa"/>
                </w:tcPr>
                <w:p w:rsidR="002D3793" w:rsidRDefault="002D3793" w:rsidP="00495F57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2D3793" w:rsidRDefault="002D3793" w:rsidP="00495F57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330C1E" w:rsidRPr="00630220" w:rsidRDefault="002D3793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2D3793">
                    <w:rPr>
                      <w:rFonts w:asciiTheme="minorEastAsia" w:hAnsiTheme="minorEastAsia" w:cs="宋体" w:hint="eastAsia"/>
                      <w:szCs w:val="21"/>
                    </w:rPr>
                    <w:t>高速フォーカス可能、高画素機能</w:t>
                  </w:r>
                </w:p>
              </w:tc>
              <w:tc>
                <w:tcPr>
                  <w:tcW w:w="2080" w:type="dxa"/>
                </w:tcPr>
                <w:p w:rsidR="002D3793" w:rsidRDefault="002D3793" w:rsidP="00B47BD5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330C1E" w:rsidRPr="00630220" w:rsidRDefault="002D3793" w:rsidP="00B47BD5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2D3793">
                    <w:rPr>
                      <w:rFonts w:asciiTheme="minorEastAsia" w:hAnsiTheme="minorEastAsia" w:cs="宋体" w:hint="eastAsia"/>
                      <w:szCs w:val="21"/>
                    </w:rPr>
                    <w:t>高速フォーカス、高画素、夜は</w:t>
                  </w:r>
                  <w:proofErr w:type="gramStart"/>
                  <w:r w:rsidRPr="002D3793">
                    <w:rPr>
                      <w:rFonts w:asciiTheme="minorEastAsia" w:hAnsiTheme="minorEastAsia" w:cs="宋体" w:hint="eastAsia"/>
                      <w:szCs w:val="21"/>
                    </w:rPr>
                    <w:t>撮</w:t>
                  </w:r>
                  <w:proofErr w:type="gramEnd"/>
                  <w:r w:rsidRPr="002D3793">
                    <w:rPr>
                      <w:rFonts w:asciiTheme="minorEastAsia" w:hAnsiTheme="minorEastAsia" w:cs="宋体" w:hint="eastAsia"/>
                      <w:szCs w:val="21"/>
                    </w:rPr>
                    <w:t>影が強化、光学防NAGOMI機能</w:t>
                  </w:r>
                </w:p>
              </w:tc>
              <w:tc>
                <w:tcPr>
                  <w:tcW w:w="2081" w:type="dxa"/>
                </w:tcPr>
                <w:p w:rsidR="009E38BD" w:rsidRDefault="009E38BD" w:rsidP="00495F57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E0669E" w:rsidRPr="00630220" w:rsidRDefault="00E0669E" w:rsidP="00495F57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E0669E">
                    <w:rPr>
                      <w:rFonts w:asciiTheme="minorEastAsia" w:hAnsiTheme="minorEastAsia" w:cs="宋体" w:hint="eastAsia"/>
                      <w:szCs w:val="21"/>
                    </w:rPr>
                    <w:t>複雑な環境の撮影が画質がいいというのは</w:t>
                  </w:r>
                  <w:bookmarkStart w:id="0" w:name="_GoBack"/>
                  <w:bookmarkEnd w:id="0"/>
                </w:p>
              </w:tc>
            </w:tr>
          </w:tbl>
          <w:p w:rsidR="009E38BD" w:rsidRPr="00630220" w:rsidRDefault="009E38BD" w:rsidP="00630220">
            <w:pPr>
              <w:snapToGrid w:val="0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</w:tbl>
    <w:p w:rsidR="005D4FA7" w:rsidRPr="001B6425" w:rsidRDefault="005D4FA7" w:rsidP="005D4FA7">
      <w:pPr>
        <w:widowControl/>
        <w:jc w:val="left"/>
        <w:rPr>
          <w:rFonts w:ascii="宋体" w:eastAsia="PMingLiU" w:hAnsi="宋体"/>
          <w:sz w:val="28"/>
          <w:szCs w:val="28"/>
        </w:rPr>
      </w:pPr>
    </w:p>
    <w:sectPr w:rsidR="005D4FA7" w:rsidRPr="001B6425" w:rsidSect="0035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4E" w:rsidRDefault="00E0464E" w:rsidP="004A36A0">
      <w:r>
        <w:separator/>
      </w:r>
    </w:p>
  </w:endnote>
  <w:endnote w:type="continuationSeparator" w:id="0">
    <w:p w:rsidR="00E0464E" w:rsidRDefault="00E0464E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4E" w:rsidRDefault="00E0464E" w:rsidP="004A36A0">
      <w:r>
        <w:separator/>
      </w:r>
    </w:p>
  </w:footnote>
  <w:footnote w:type="continuationSeparator" w:id="0">
    <w:p w:rsidR="00E0464E" w:rsidRDefault="00E0464E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7D57"/>
    <w:rsid w:val="00010173"/>
    <w:rsid w:val="00012BC4"/>
    <w:rsid w:val="000200DF"/>
    <w:rsid w:val="000223C5"/>
    <w:rsid w:val="0003685D"/>
    <w:rsid w:val="00042729"/>
    <w:rsid w:val="00046B1D"/>
    <w:rsid w:val="00050CB4"/>
    <w:rsid w:val="00055FEA"/>
    <w:rsid w:val="00073408"/>
    <w:rsid w:val="000752F3"/>
    <w:rsid w:val="00080EE3"/>
    <w:rsid w:val="000844C1"/>
    <w:rsid w:val="0008487E"/>
    <w:rsid w:val="00090BDB"/>
    <w:rsid w:val="000917D1"/>
    <w:rsid w:val="00096D02"/>
    <w:rsid w:val="000A1248"/>
    <w:rsid w:val="000A1D43"/>
    <w:rsid w:val="000A2E84"/>
    <w:rsid w:val="000D0B2A"/>
    <w:rsid w:val="000E6947"/>
    <w:rsid w:val="000F02F0"/>
    <w:rsid w:val="000F4B2D"/>
    <w:rsid w:val="000F54E2"/>
    <w:rsid w:val="000F6FFD"/>
    <w:rsid w:val="001061DA"/>
    <w:rsid w:val="00114449"/>
    <w:rsid w:val="0012043F"/>
    <w:rsid w:val="00121E3F"/>
    <w:rsid w:val="00122000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61C"/>
    <w:rsid w:val="0019423A"/>
    <w:rsid w:val="001A52D5"/>
    <w:rsid w:val="001A6079"/>
    <w:rsid w:val="001A7D8E"/>
    <w:rsid w:val="001B424B"/>
    <w:rsid w:val="001B6425"/>
    <w:rsid w:val="001C59E4"/>
    <w:rsid w:val="001C6C33"/>
    <w:rsid w:val="001D3148"/>
    <w:rsid w:val="001E4043"/>
    <w:rsid w:val="001F362E"/>
    <w:rsid w:val="00201FC0"/>
    <w:rsid w:val="00204BF2"/>
    <w:rsid w:val="002144D4"/>
    <w:rsid w:val="00216A7E"/>
    <w:rsid w:val="00234697"/>
    <w:rsid w:val="0024183A"/>
    <w:rsid w:val="002720F0"/>
    <w:rsid w:val="002742B1"/>
    <w:rsid w:val="00280528"/>
    <w:rsid w:val="00287081"/>
    <w:rsid w:val="00290EB5"/>
    <w:rsid w:val="002934D3"/>
    <w:rsid w:val="002A533F"/>
    <w:rsid w:val="002B04E6"/>
    <w:rsid w:val="002B6672"/>
    <w:rsid w:val="002C1CF0"/>
    <w:rsid w:val="002C1F8E"/>
    <w:rsid w:val="002C7644"/>
    <w:rsid w:val="002D3793"/>
    <w:rsid w:val="002D394B"/>
    <w:rsid w:val="002D3E1F"/>
    <w:rsid w:val="002E0C6D"/>
    <w:rsid w:val="002F55A3"/>
    <w:rsid w:val="003047DB"/>
    <w:rsid w:val="003058F9"/>
    <w:rsid w:val="00314E11"/>
    <w:rsid w:val="003206A9"/>
    <w:rsid w:val="00330BC7"/>
    <w:rsid w:val="00330C1E"/>
    <w:rsid w:val="00331BA3"/>
    <w:rsid w:val="003412CF"/>
    <w:rsid w:val="003435F3"/>
    <w:rsid w:val="0034763E"/>
    <w:rsid w:val="00351586"/>
    <w:rsid w:val="00352EAA"/>
    <w:rsid w:val="00356802"/>
    <w:rsid w:val="00364C3D"/>
    <w:rsid w:val="00394E05"/>
    <w:rsid w:val="003A6F3C"/>
    <w:rsid w:val="003B782C"/>
    <w:rsid w:val="003E280C"/>
    <w:rsid w:val="004023E7"/>
    <w:rsid w:val="00404485"/>
    <w:rsid w:val="00405787"/>
    <w:rsid w:val="00427655"/>
    <w:rsid w:val="00461760"/>
    <w:rsid w:val="0046372C"/>
    <w:rsid w:val="0046462B"/>
    <w:rsid w:val="0047019D"/>
    <w:rsid w:val="00474C4A"/>
    <w:rsid w:val="00476438"/>
    <w:rsid w:val="00477010"/>
    <w:rsid w:val="00477E43"/>
    <w:rsid w:val="00495F57"/>
    <w:rsid w:val="004A36A0"/>
    <w:rsid w:val="004B0FBA"/>
    <w:rsid w:val="004B10D0"/>
    <w:rsid w:val="004B5169"/>
    <w:rsid w:val="004C7F0F"/>
    <w:rsid w:val="004D1DE9"/>
    <w:rsid w:val="004D2C73"/>
    <w:rsid w:val="004E389A"/>
    <w:rsid w:val="004F0F4B"/>
    <w:rsid w:val="004F5F63"/>
    <w:rsid w:val="004F60C5"/>
    <w:rsid w:val="00506C63"/>
    <w:rsid w:val="0051210A"/>
    <w:rsid w:val="00513DD0"/>
    <w:rsid w:val="00514832"/>
    <w:rsid w:val="00516582"/>
    <w:rsid w:val="00516709"/>
    <w:rsid w:val="005205D5"/>
    <w:rsid w:val="00534FB2"/>
    <w:rsid w:val="005410F6"/>
    <w:rsid w:val="005467CD"/>
    <w:rsid w:val="00551EA3"/>
    <w:rsid w:val="00551F81"/>
    <w:rsid w:val="005606C3"/>
    <w:rsid w:val="00560F62"/>
    <w:rsid w:val="00576F34"/>
    <w:rsid w:val="00585CB4"/>
    <w:rsid w:val="00595E57"/>
    <w:rsid w:val="005A3AAB"/>
    <w:rsid w:val="005A3F6A"/>
    <w:rsid w:val="005C22C9"/>
    <w:rsid w:val="005C6A89"/>
    <w:rsid w:val="005D1ACD"/>
    <w:rsid w:val="005D4FA7"/>
    <w:rsid w:val="005F0DE1"/>
    <w:rsid w:val="005F4113"/>
    <w:rsid w:val="0060049D"/>
    <w:rsid w:val="00601A99"/>
    <w:rsid w:val="00602988"/>
    <w:rsid w:val="00614A67"/>
    <w:rsid w:val="00615A83"/>
    <w:rsid w:val="00615AE8"/>
    <w:rsid w:val="00622732"/>
    <w:rsid w:val="00625241"/>
    <w:rsid w:val="00630220"/>
    <w:rsid w:val="00631793"/>
    <w:rsid w:val="0065449A"/>
    <w:rsid w:val="0065457C"/>
    <w:rsid w:val="006743EA"/>
    <w:rsid w:val="00677B72"/>
    <w:rsid w:val="006833C9"/>
    <w:rsid w:val="00683582"/>
    <w:rsid w:val="0068779F"/>
    <w:rsid w:val="00691C15"/>
    <w:rsid w:val="006A1546"/>
    <w:rsid w:val="006A3F8B"/>
    <w:rsid w:val="006B2BF9"/>
    <w:rsid w:val="006B422A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55E26"/>
    <w:rsid w:val="00760501"/>
    <w:rsid w:val="0078006B"/>
    <w:rsid w:val="00785AB4"/>
    <w:rsid w:val="00795495"/>
    <w:rsid w:val="007A5520"/>
    <w:rsid w:val="007C1F51"/>
    <w:rsid w:val="007C62E6"/>
    <w:rsid w:val="007C775F"/>
    <w:rsid w:val="007C7BF8"/>
    <w:rsid w:val="007D22C7"/>
    <w:rsid w:val="007D4E64"/>
    <w:rsid w:val="007E0192"/>
    <w:rsid w:val="00802303"/>
    <w:rsid w:val="008238FD"/>
    <w:rsid w:val="00823EA9"/>
    <w:rsid w:val="00826D7E"/>
    <w:rsid w:val="00836603"/>
    <w:rsid w:val="00841357"/>
    <w:rsid w:val="0085434B"/>
    <w:rsid w:val="00872048"/>
    <w:rsid w:val="00873444"/>
    <w:rsid w:val="0087418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900077"/>
    <w:rsid w:val="00905028"/>
    <w:rsid w:val="0090734F"/>
    <w:rsid w:val="00916236"/>
    <w:rsid w:val="00917652"/>
    <w:rsid w:val="009219C5"/>
    <w:rsid w:val="00921F26"/>
    <w:rsid w:val="00936B2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770F"/>
    <w:rsid w:val="009C29FA"/>
    <w:rsid w:val="009C5805"/>
    <w:rsid w:val="009C6F53"/>
    <w:rsid w:val="009D310F"/>
    <w:rsid w:val="009E38BD"/>
    <w:rsid w:val="009F41B7"/>
    <w:rsid w:val="009F4F95"/>
    <w:rsid w:val="00A209CE"/>
    <w:rsid w:val="00A2380F"/>
    <w:rsid w:val="00A23EE8"/>
    <w:rsid w:val="00A27B75"/>
    <w:rsid w:val="00A27C5D"/>
    <w:rsid w:val="00A30CA0"/>
    <w:rsid w:val="00A346CD"/>
    <w:rsid w:val="00A46CF7"/>
    <w:rsid w:val="00A608D9"/>
    <w:rsid w:val="00A63456"/>
    <w:rsid w:val="00A6596A"/>
    <w:rsid w:val="00A7796D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B13098"/>
    <w:rsid w:val="00B319DF"/>
    <w:rsid w:val="00B32ED1"/>
    <w:rsid w:val="00B35EA8"/>
    <w:rsid w:val="00B37DAB"/>
    <w:rsid w:val="00B4345E"/>
    <w:rsid w:val="00B47BD5"/>
    <w:rsid w:val="00B5158C"/>
    <w:rsid w:val="00B53708"/>
    <w:rsid w:val="00B60F3E"/>
    <w:rsid w:val="00B84C34"/>
    <w:rsid w:val="00B9368E"/>
    <w:rsid w:val="00BB05F7"/>
    <w:rsid w:val="00BB6E27"/>
    <w:rsid w:val="00BC481D"/>
    <w:rsid w:val="00BD179B"/>
    <w:rsid w:val="00BD4431"/>
    <w:rsid w:val="00BE48A0"/>
    <w:rsid w:val="00BF2B08"/>
    <w:rsid w:val="00BF44E5"/>
    <w:rsid w:val="00BF5E78"/>
    <w:rsid w:val="00BF6BEC"/>
    <w:rsid w:val="00C068F2"/>
    <w:rsid w:val="00C10923"/>
    <w:rsid w:val="00C10F7F"/>
    <w:rsid w:val="00C12FBD"/>
    <w:rsid w:val="00C14852"/>
    <w:rsid w:val="00C16CBF"/>
    <w:rsid w:val="00C23D5E"/>
    <w:rsid w:val="00C2469E"/>
    <w:rsid w:val="00C25420"/>
    <w:rsid w:val="00C30492"/>
    <w:rsid w:val="00C3203C"/>
    <w:rsid w:val="00C41D6F"/>
    <w:rsid w:val="00C4430E"/>
    <w:rsid w:val="00C44A59"/>
    <w:rsid w:val="00C45AC6"/>
    <w:rsid w:val="00C96C54"/>
    <w:rsid w:val="00CA47C3"/>
    <w:rsid w:val="00CB176C"/>
    <w:rsid w:val="00CC50CA"/>
    <w:rsid w:val="00CD032E"/>
    <w:rsid w:val="00CD1365"/>
    <w:rsid w:val="00CE5AD4"/>
    <w:rsid w:val="00CF0F58"/>
    <w:rsid w:val="00D007C6"/>
    <w:rsid w:val="00D05446"/>
    <w:rsid w:val="00D3240E"/>
    <w:rsid w:val="00D34007"/>
    <w:rsid w:val="00D36E6D"/>
    <w:rsid w:val="00D425BD"/>
    <w:rsid w:val="00D45358"/>
    <w:rsid w:val="00D53873"/>
    <w:rsid w:val="00D64B36"/>
    <w:rsid w:val="00D65FFD"/>
    <w:rsid w:val="00D675D1"/>
    <w:rsid w:val="00D75145"/>
    <w:rsid w:val="00D76067"/>
    <w:rsid w:val="00D76B65"/>
    <w:rsid w:val="00D76F0F"/>
    <w:rsid w:val="00D81A2A"/>
    <w:rsid w:val="00D833C7"/>
    <w:rsid w:val="00D9379E"/>
    <w:rsid w:val="00D93892"/>
    <w:rsid w:val="00DB3F0A"/>
    <w:rsid w:val="00DB5D74"/>
    <w:rsid w:val="00DC1E11"/>
    <w:rsid w:val="00DC4F5F"/>
    <w:rsid w:val="00DC723D"/>
    <w:rsid w:val="00DF09DC"/>
    <w:rsid w:val="00DF78F7"/>
    <w:rsid w:val="00E0464E"/>
    <w:rsid w:val="00E0669E"/>
    <w:rsid w:val="00E15FB6"/>
    <w:rsid w:val="00E3559B"/>
    <w:rsid w:val="00E37AAB"/>
    <w:rsid w:val="00E42EB0"/>
    <w:rsid w:val="00E62603"/>
    <w:rsid w:val="00E66E24"/>
    <w:rsid w:val="00E7161A"/>
    <w:rsid w:val="00E849AD"/>
    <w:rsid w:val="00E86816"/>
    <w:rsid w:val="00E86DD8"/>
    <w:rsid w:val="00E92F54"/>
    <w:rsid w:val="00E972BE"/>
    <w:rsid w:val="00E97310"/>
    <w:rsid w:val="00EA25DD"/>
    <w:rsid w:val="00EB1022"/>
    <w:rsid w:val="00EB372A"/>
    <w:rsid w:val="00EB5691"/>
    <w:rsid w:val="00EC7BB5"/>
    <w:rsid w:val="00ED5A4E"/>
    <w:rsid w:val="00ED6925"/>
    <w:rsid w:val="00EE0CEE"/>
    <w:rsid w:val="00EE4D06"/>
    <w:rsid w:val="00EE544D"/>
    <w:rsid w:val="00EE58F4"/>
    <w:rsid w:val="00EF6914"/>
    <w:rsid w:val="00F22509"/>
    <w:rsid w:val="00F27DA5"/>
    <w:rsid w:val="00F40772"/>
    <w:rsid w:val="00F56911"/>
    <w:rsid w:val="00F8256C"/>
    <w:rsid w:val="00F86907"/>
    <w:rsid w:val="00F9630A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2016-11-19T08:55:00Z</cp:lastPrinted>
  <dcterms:created xsi:type="dcterms:W3CDTF">2017-06-16T01:39:00Z</dcterms:created>
  <dcterms:modified xsi:type="dcterms:W3CDTF">2017-09-12T03:05:00Z</dcterms:modified>
</cp:coreProperties>
</file>